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82BF" w14:textId="77777777" w:rsidR="00173F1C" w:rsidRDefault="00173F1C">
      <w:pPr>
        <w:rPr>
          <w:b/>
          <w:bCs/>
        </w:rPr>
      </w:pPr>
      <w:r w:rsidRPr="00173F1C">
        <w:rPr>
          <w:b/>
          <w:bCs/>
        </w:rPr>
        <w:t>Laddering Critical Thinking Through Co-Created Industry Cases Across Core Courses</w:t>
      </w:r>
    </w:p>
    <w:p w14:paraId="388B5857" w14:textId="796263B1" w:rsidR="00736890" w:rsidRDefault="00FF41A2">
      <w:r>
        <w:t xml:space="preserve">This presentation proposes a program-level design that integrates work-integrated learning (WIL) into core courses by using co-created industry problems and case writing as cumulative, scaffolded assessments. The argument here is that case-based WIL will systematically ladder critical thinking from foundational analysis to advanced analysis across semesters. </w:t>
      </w:r>
    </w:p>
    <w:p w14:paraId="1C9F604E" w14:textId="719CD2EC" w:rsidR="00FF41A2" w:rsidRDefault="00FF41A2" w:rsidP="00FF41A2">
      <w:r w:rsidRPr="00FF41A2">
        <w:rPr>
          <w:b/>
          <w:bCs/>
        </w:rPr>
        <w:t>Central question</w:t>
      </w:r>
      <w:r>
        <w:t xml:space="preserve">: </w:t>
      </w:r>
      <w:r w:rsidR="00173F1C" w:rsidRPr="00173F1C">
        <w:t>How can structured case sequences reliably build critical thinking across multiple courses?</w:t>
      </w:r>
    </w:p>
    <w:p w14:paraId="10656231" w14:textId="618BACB9" w:rsidR="00FF41A2" w:rsidRDefault="00FF41A2" w:rsidP="00FF41A2">
      <w:r>
        <w:t xml:space="preserve">To be impactful and meaningful for students and educators, the goal is to create three stages of case sequence. </w:t>
      </w:r>
    </w:p>
    <w:p w14:paraId="091D7A9B" w14:textId="755AFB2D" w:rsidR="00FF41A2" w:rsidRDefault="00FF41A2" w:rsidP="00FF41A2">
      <w:pPr>
        <w:pStyle w:val="ListParagraph"/>
        <w:numPr>
          <w:ilvl w:val="0"/>
          <w:numId w:val="1"/>
        </w:numPr>
      </w:pPr>
      <w:r>
        <w:t xml:space="preserve">Instructor-authored case studies </w:t>
      </w:r>
    </w:p>
    <w:p w14:paraId="398C7AF7" w14:textId="77777777" w:rsidR="00FF41A2" w:rsidRDefault="00FF41A2" w:rsidP="00FF41A2">
      <w:pPr>
        <w:pStyle w:val="ListParagraph"/>
        <w:numPr>
          <w:ilvl w:val="0"/>
          <w:numId w:val="1"/>
        </w:numPr>
      </w:pPr>
      <w:r>
        <w:t>Industry co-created live problems with prompts</w:t>
      </w:r>
    </w:p>
    <w:p w14:paraId="55943790" w14:textId="77777777" w:rsidR="00FF41A2" w:rsidRDefault="00FF41A2" w:rsidP="00FF41A2">
      <w:pPr>
        <w:pStyle w:val="ListParagraph"/>
        <w:numPr>
          <w:ilvl w:val="0"/>
          <w:numId w:val="1"/>
        </w:numPr>
      </w:pPr>
      <w:r>
        <w:t>Student-authored cases</w:t>
      </w:r>
    </w:p>
    <w:p w14:paraId="0C5196D7" w14:textId="002015E8" w:rsidR="00FF41A2" w:rsidRDefault="00FF41A2" w:rsidP="00FF41A2">
      <w:r>
        <w:t xml:space="preserve">All three case sequences will have rubrics (pre/post), case assignments, discussion groups with students and industry partners, and analysis of case drafts with reflection. </w:t>
      </w:r>
      <w:r w:rsidR="00E15B33">
        <w:t>A portable toolkit will connect case writing with co-creators.</w:t>
      </w:r>
    </w:p>
    <w:p w14:paraId="7A61E08B" w14:textId="512E48E7" w:rsidR="00E15B33" w:rsidRDefault="00E15B33" w:rsidP="00FF41A2">
      <w:r w:rsidRPr="00E15B33">
        <w:rPr>
          <w:b/>
          <w:bCs/>
        </w:rPr>
        <w:t>Methodology:</w:t>
      </w:r>
      <w:r>
        <w:t xml:space="preserve"> A design-based research study across cohorts would implement this three-stage case sequence to gather quantitative rubric scores, assignment data (time on task, iteration counts), and course grades. Qualitative data includes coded themes on problem authenticity, feedback utility, and transfer to reality. </w:t>
      </w:r>
    </w:p>
    <w:p w14:paraId="4F181DD6" w14:textId="6EB5D5F0" w:rsidR="00173F1C" w:rsidRDefault="00173F1C" w:rsidP="00FF41A2">
      <w:r>
        <w:t xml:space="preserve">The presentation will feature a </w:t>
      </w:r>
      <w:r w:rsidRPr="00F22B42">
        <w:t>visual framework diagram, sample case study templates, and evidence of measurable gains in critical thinking</w:t>
      </w:r>
      <w:r>
        <w:t>. These items will be part of an implementation toolkit, which will be discussed on how to integrate WIL through cases with strategies for industry collaboration and assessment design.</w:t>
      </w:r>
    </w:p>
    <w:p w14:paraId="702FAD9F" w14:textId="7B30C083" w:rsidR="00173F1C" w:rsidRPr="00F22B42" w:rsidRDefault="00F22B42" w:rsidP="00FF41A2">
      <w:pPr>
        <w:rPr>
          <w:b/>
          <w:bCs/>
        </w:rPr>
      </w:pPr>
      <w:r w:rsidRPr="00F22B42">
        <w:rPr>
          <w:b/>
          <w:bCs/>
        </w:rPr>
        <w:t>References</w:t>
      </w:r>
      <w:r>
        <w:rPr>
          <w:b/>
          <w:bCs/>
        </w:rPr>
        <w:t>:</w:t>
      </w:r>
    </w:p>
    <w:p w14:paraId="3EE097BC" w14:textId="75912C65" w:rsidR="00D9291B" w:rsidRDefault="00D9291B">
      <w:r w:rsidRPr="00D9291B">
        <w:t xml:space="preserve">Coulson, D., &amp; Harvey, M. (2013). Scaffolding student reflection for experience-based learning: a </w:t>
      </w:r>
      <w:r>
        <w:tab/>
      </w:r>
      <w:r w:rsidRPr="00D9291B">
        <w:t xml:space="preserve">framework. </w:t>
      </w:r>
      <w:r w:rsidRPr="00D9291B">
        <w:rPr>
          <w:i/>
          <w:iCs/>
        </w:rPr>
        <w:t>Teaching in Higher Education, 18</w:t>
      </w:r>
      <w:r w:rsidRPr="00D9291B">
        <w:t xml:space="preserve">(4), 401–413. </w:t>
      </w:r>
      <w:r>
        <w:tab/>
      </w:r>
      <w:r w:rsidRPr="00D9291B">
        <w:t>https://doi.org/10.1080/13562517.2012.752726</w:t>
      </w:r>
    </w:p>
    <w:p w14:paraId="6D2CC20A" w14:textId="68667D44" w:rsidR="00FF41A2" w:rsidRDefault="00F22B42">
      <w:r w:rsidRPr="00F22B42">
        <w:t>Kotter, J.P. (1996) Leading change, Harvard Business School Press, Boston, MA.</w:t>
      </w:r>
    </w:p>
    <w:p w14:paraId="10251F12" w14:textId="6EEB8B64" w:rsidR="00D9291B" w:rsidRPr="00D9291B" w:rsidRDefault="00D9291B" w:rsidP="00D9291B">
      <w:r w:rsidRPr="00D9291B">
        <w:t xml:space="preserve">Mahdi, O. R., Nassar, I. A., &amp; </w:t>
      </w:r>
      <w:proofErr w:type="spellStart"/>
      <w:r w:rsidRPr="00D9291B">
        <w:t>Almuslamani</w:t>
      </w:r>
      <w:proofErr w:type="spellEnd"/>
      <w:r w:rsidRPr="00D9291B">
        <w:t xml:space="preserve">, H. A. I. (2020). The role of using case studies method in </w:t>
      </w:r>
      <w:r>
        <w:tab/>
      </w:r>
      <w:r w:rsidRPr="00D9291B">
        <w:t xml:space="preserve">improving students’ critical thinking skills in higher education. </w:t>
      </w:r>
      <w:r w:rsidRPr="00D9291B">
        <w:rPr>
          <w:i/>
          <w:iCs/>
        </w:rPr>
        <w:t xml:space="preserve">International Journal of Higher </w:t>
      </w:r>
      <w:r>
        <w:rPr>
          <w:i/>
          <w:iCs/>
        </w:rPr>
        <w:tab/>
      </w:r>
      <w:r w:rsidRPr="00D9291B">
        <w:rPr>
          <w:i/>
          <w:iCs/>
        </w:rPr>
        <w:t>Education, 9</w:t>
      </w:r>
      <w:r w:rsidRPr="00D9291B">
        <w:t>(2), 297–309. https://doi.org/10.5430/ijhe.v9n2p297</w:t>
      </w:r>
    </w:p>
    <w:p w14:paraId="721B19AC" w14:textId="5D4F6EDE" w:rsidR="00D9291B" w:rsidRPr="00D9291B" w:rsidRDefault="00D9291B" w:rsidP="00D9291B">
      <w:r w:rsidRPr="00D9291B">
        <w:t xml:space="preserve">Ooi, S. Y., &amp; et al. (2023). Examining the use of scaffolding approach in teaching case study: An approach </w:t>
      </w:r>
      <w:r>
        <w:tab/>
      </w:r>
      <w:r w:rsidRPr="00D9291B">
        <w:t xml:space="preserve">towards enhancing students’ critical thinking and problem-solving skills. </w:t>
      </w:r>
      <w:r w:rsidRPr="00D9291B">
        <w:rPr>
          <w:i/>
          <w:iCs/>
        </w:rPr>
        <w:t>Accounting Education</w:t>
      </w:r>
      <w:r w:rsidRPr="00D9291B">
        <w:t>.</w:t>
      </w:r>
    </w:p>
    <w:p w14:paraId="1170E720" w14:textId="335F6382" w:rsidR="00D9291B" w:rsidRPr="00D9291B" w:rsidRDefault="00D9291B" w:rsidP="00D9291B">
      <w:r w:rsidRPr="00D9291B">
        <w:t xml:space="preserve">Schwab, K., Browne, L., &amp; Hough, M. (2009). Scaffolding: A promising approach to fostering critical </w:t>
      </w:r>
      <w:r>
        <w:tab/>
      </w:r>
      <w:r w:rsidRPr="00D9291B">
        <w:t xml:space="preserve">thinking. </w:t>
      </w:r>
      <w:proofErr w:type="spellStart"/>
      <w:r w:rsidRPr="00D9291B">
        <w:rPr>
          <w:i/>
          <w:iCs/>
        </w:rPr>
        <w:t>Schole</w:t>
      </w:r>
      <w:proofErr w:type="spellEnd"/>
      <w:r w:rsidRPr="00D9291B">
        <w:rPr>
          <w:i/>
          <w:iCs/>
        </w:rPr>
        <w:t>: A Journal of Leisure Studies and Recreation Education, 24</w:t>
      </w:r>
      <w:r w:rsidRPr="00D9291B">
        <w:t>, 114–119.</w:t>
      </w:r>
    </w:p>
    <w:p w14:paraId="4EE0B515" w14:textId="4D71CAE0" w:rsidR="00D9291B" w:rsidRPr="00D9291B" w:rsidRDefault="00D9291B" w:rsidP="00D9291B">
      <w:proofErr w:type="spellStart"/>
      <w:r w:rsidRPr="00D9291B">
        <w:lastRenderedPageBreak/>
        <w:t>Sulé</w:t>
      </w:r>
      <w:proofErr w:type="spellEnd"/>
      <w:r w:rsidRPr="00D9291B">
        <w:t xml:space="preserve">, V. T., Sachs, A., Mansor, C., &amp; </w:t>
      </w:r>
      <w:proofErr w:type="spellStart"/>
      <w:r w:rsidRPr="00D9291B">
        <w:t>Smydra</w:t>
      </w:r>
      <w:proofErr w:type="spellEnd"/>
      <w:r w:rsidRPr="00D9291B">
        <w:t xml:space="preserve">, R. V. (2022). The case for case studies: Dialogic engagement </w:t>
      </w:r>
      <w:r>
        <w:tab/>
      </w:r>
      <w:r w:rsidRPr="00D9291B">
        <w:t xml:space="preserve">and case study creation in a higher education classroom. </w:t>
      </w:r>
      <w:r w:rsidRPr="00D9291B">
        <w:rPr>
          <w:i/>
          <w:iCs/>
        </w:rPr>
        <w:t>Active Learning in Higher Education</w:t>
      </w:r>
      <w:r w:rsidRPr="00D9291B">
        <w:t xml:space="preserve">. </w:t>
      </w:r>
      <w:r>
        <w:tab/>
      </w:r>
      <w:r w:rsidRPr="00D9291B">
        <w:t>Advance online publication. https://doi.org/10.1177/14697874221075297</w:t>
      </w:r>
    </w:p>
    <w:p w14:paraId="58904727" w14:textId="77777777" w:rsidR="00D9291B" w:rsidRDefault="00D9291B"/>
    <w:sectPr w:rsidR="00D929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6E35"/>
    <w:multiLevelType w:val="hybridMultilevel"/>
    <w:tmpl w:val="6908D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2EE6819"/>
    <w:multiLevelType w:val="hybridMultilevel"/>
    <w:tmpl w:val="C8BA4326"/>
    <w:lvl w:ilvl="0" w:tplc="5A7E159E">
      <w:start w:val="1"/>
      <w:numFmt w:val="bullet"/>
      <w:lvlText w:val="•"/>
      <w:lvlJc w:val="left"/>
      <w:pPr>
        <w:tabs>
          <w:tab w:val="num" w:pos="720"/>
        </w:tabs>
        <w:ind w:left="720" w:hanging="360"/>
      </w:pPr>
      <w:rPr>
        <w:rFonts w:ascii="Arial" w:hAnsi="Arial" w:hint="default"/>
      </w:rPr>
    </w:lvl>
    <w:lvl w:ilvl="1" w:tplc="91806B6A" w:tentative="1">
      <w:start w:val="1"/>
      <w:numFmt w:val="bullet"/>
      <w:lvlText w:val="•"/>
      <w:lvlJc w:val="left"/>
      <w:pPr>
        <w:tabs>
          <w:tab w:val="num" w:pos="1440"/>
        </w:tabs>
        <w:ind w:left="1440" w:hanging="360"/>
      </w:pPr>
      <w:rPr>
        <w:rFonts w:ascii="Arial" w:hAnsi="Arial" w:hint="default"/>
      </w:rPr>
    </w:lvl>
    <w:lvl w:ilvl="2" w:tplc="471A2C2A" w:tentative="1">
      <w:start w:val="1"/>
      <w:numFmt w:val="bullet"/>
      <w:lvlText w:val="•"/>
      <w:lvlJc w:val="left"/>
      <w:pPr>
        <w:tabs>
          <w:tab w:val="num" w:pos="2160"/>
        </w:tabs>
        <w:ind w:left="2160" w:hanging="360"/>
      </w:pPr>
      <w:rPr>
        <w:rFonts w:ascii="Arial" w:hAnsi="Arial" w:hint="default"/>
      </w:rPr>
    </w:lvl>
    <w:lvl w:ilvl="3" w:tplc="93F211C4" w:tentative="1">
      <w:start w:val="1"/>
      <w:numFmt w:val="bullet"/>
      <w:lvlText w:val="•"/>
      <w:lvlJc w:val="left"/>
      <w:pPr>
        <w:tabs>
          <w:tab w:val="num" w:pos="2880"/>
        </w:tabs>
        <w:ind w:left="2880" w:hanging="360"/>
      </w:pPr>
      <w:rPr>
        <w:rFonts w:ascii="Arial" w:hAnsi="Arial" w:hint="default"/>
      </w:rPr>
    </w:lvl>
    <w:lvl w:ilvl="4" w:tplc="F536DF14" w:tentative="1">
      <w:start w:val="1"/>
      <w:numFmt w:val="bullet"/>
      <w:lvlText w:val="•"/>
      <w:lvlJc w:val="left"/>
      <w:pPr>
        <w:tabs>
          <w:tab w:val="num" w:pos="3600"/>
        </w:tabs>
        <w:ind w:left="3600" w:hanging="360"/>
      </w:pPr>
      <w:rPr>
        <w:rFonts w:ascii="Arial" w:hAnsi="Arial" w:hint="default"/>
      </w:rPr>
    </w:lvl>
    <w:lvl w:ilvl="5" w:tplc="ADBA5A8E" w:tentative="1">
      <w:start w:val="1"/>
      <w:numFmt w:val="bullet"/>
      <w:lvlText w:val="•"/>
      <w:lvlJc w:val="left"/>
      <w:pPr>
        <w:tabs>
          <w:tab w:val="num" w:pos="4320"/>
        </w:tabs>
        <w:ind w:left="4320" w:hanging="360"/>
      </w:pPr>
      <w:rPr>
        <w:rFonts w:ascii="Arial" w:hAnsi="Arial" w:hint="default"/>
      </w:rPr>
    </w:lvl>
    <w:lvl w:ilvl="6" w:tplc="6BE0F262" w:tentative="1">
      <w:start w:val="1"/>
      <w:numFmt w:val="bullet"/>
      <w:lvlText w:val="•"/>
      <w:lvlJc w:val="left"/>
      <w:pPr>
        <w:tabs>
          <w:tab w:val="num" w:pos="5040"/>
        </w:tabs>
        <w:ind w:left="5040" w:hanging="360"/>
      </w:pPr>
      <w:rPr>
        <w:rFonts w:ascii="Arial" w:hAnsi="Arial" w:hint="default"/>
      </w:rPr>
    </w:lvl>
    <w:lvl w:ilvl="7" w:tplc="3FE24932" w:tentative="1">
      <w:start w:val="1"/>
      <w:numFmt w:val="bullet"/>
      <w:lvlText w:val="•"/>
      <w:lvlJc w:val="left"/>
      <w:pPr>
        <w:tabs>
          <w:tab w:val="num" w:pos="5760"/>
        </w:tabs>
        <w:ind w:left="5760" w:hanging="360"/>
      </w:pPr>
      <w:rPr>
        <w:rFonts w:ascii="Arial" w:hAnsi="Arial" w:hint="default"/>
      </w:rPr>
    </w:lvl>
    <w:lvl w:ilvl="8" w:tplc="658052BC" w:tentative="1">
      <w:start w:val="1"/>
      <w:numFmt w:val="bullet"/>
      <w:lvlText w:val="•"/>
      <w:lvlJc w:val="left"/>
      <w:pPr>
        <w:tabs>
          <w:tab w:val="num" w:pos="6480"/>
        </w:tabs>
        <w:ind w:left="6480" w:hanging="360"/>
      </w:pPr>
      <w:rPr>
        <w:rFonts w:ascii="Arial" w:hAnsi="Arial" w:hint="default"/>
      </w:rPr>
    </w:lvl>
  </w:abstractNum>
  <w:num w:numId="1" w16cid:durableId="823358748">
    <w:abstractNumId w:val="0"/>
  </w:num>
  <w:num w:numId="2" w16cid:durableId="87257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A2"/>
    <w:rsid w:val="00173F1C"/>
    <w:rsid w:val="004435B8"/>
    <w:rsid w:val="00736890"/>
    <w:rsid w:val="00B25F8B"/>
    <w:rsid w:val="00D9291B"/>
    <w:rsid w:val="00E15B33"/>
    <w:rsid w:val="00EB5F90"/>
    <w:rsid w:val="00F22B42"/>
    <w:rsid w:val="00FF41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B39D"/>
  <w15:chartTrackingRefBased/>
  <w15:docId w15:val="{F7849FF2-B615-4224-B5E5-1F31944C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1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1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1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1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1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1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1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1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1A2"/>
    <w:rPr>
      <w:rFonts w:eastAsiaTheme="majorEastAsia" w:cstheme="majorBidi"/>
      <w:color w:val="272727" w:themeColor="text1" w:themeTint="D8"/>
    </w:rPr>
  </w:style>
  <w:style w:type="paragraph" w:styleId="Title">
    <w:name w:val="Title"/>
    <w:basedOn w:val="Normal"/>
    <w:next w:val="Normal"/>
    <w:link w:val="TitleChar"/>
    <w:uiPriority w:val="10"/>
    <w:qFormat/>
    <w:rsid w:val="00FF4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1A2"/>
    <w:pPr>
      <w:spacing w:before="160"/>
      <w:jc w:val="center"/>
    </w:pPr>
    <w:rPr>
      <w:i/>
      <w:iCs/>
      <w:color w:val="404040" w:themeColor="text1" w:themeTint="BF"/>
    </w:rPr>
  </w:style>
  <w:style w:type="character" w:customStyle="1" w:styleId="QuoteChar">
    <w:name w:val="Quote Char"/>
    <w:basedOn w:val="DefaultParagraphFont"/>
    <w:link w:val="Quote"/>
    <w:uiPriority w:val="29"/>
    <w:rsid w:val="00FF41A2"/>
    <w:rPr>
      <w:i/>
      <w:iCs/>
      <w:color w:val="404040" w:themeColor="text1" w:themeTint="BF"/>
    </w:rPr>
  </w:style>
  <w:style w:type="paragraph" w:styleId="ListParagraph">
    <w:name w:val="List Paragraph"/>
    <w:basedOn w:val="Normal"/>
    <w:uiPriority w:val="34"/>
    <w:qFormat/>
    <w:rsid w:val="00FF41A2"/>
    <w:pPr>
      <w:ind w:left="720"/>
      <w:contextualSpacing/>
    </w:pPr>
  </w:style>
  <w:style w:type="character" w:styleId="IntenseEmphasis">
    <w:name w:val="Intense Emphasis"/>
    <w:basedOn w:val="DefaultParagraphFont"/>
    <w:uiPriority w:val="21"/>
    <w:qFormat/>
    <w:rsid w:val="00FF41A2"/>
    <w:rPr>
      <w:i/>
      <w:iCs/>
      <w:color w:val="2F5496" w:themeColor="accent1" w:themeShade="BF"/>
    </w:rPr>
  </w:style>
  <w:style w:type="paragraph" w:styleId="IntenseQuote">
    <w:name w:val="Intense Quote"/>
    <w:basedOn w:val="Normal"/>
    <w:next w:val="Normal"/>
    <w:link w:val="IntenseQuoteChar"/>
    <w:uiPriority w:val="30"/>
    <w:qFormat/>
    <w:rsid w:val="00FF4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1A2"/>
    <w:rPr>
      <w:i/>
      <w:iCs/>
      <w:color w:val="2F5496" w:themeColor="accent1" w:themeShade="BF"/>
    </w:rPr>
  </w:style>
  <w:style w:type="character" w:styleId="IntenseReference">
    <w:name w:val="Intense Reference"/>
    <w:basedOn w:val="DefaultParagraphFont"/>
    <w:uiPriority w:val="32"/>
    <w:qFormat/>
    <w:rsid w:val="00FF4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Ali</dc:creator>
  <cp:keywords/>
  <dc:description/>
  <cp:lastModifiedBy>Jane Ali</cp:lastModifiedBy>
  <cp:revision>2</cp:revision>
  <dcterms:created xsi:type="dcterms:W3CDTF">2025-12-11T19:32:00Z</dcterms:created>
  <dcterms:modified xsi:type="dcterms:W3CDTF">2025-12-11T20:31:00Z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eaa142e8-0451-41ca-a7ae-aa404ecc1afb</vt:lpwstr>
  </property>
</Properties>
</file>